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956E" w14:textId="77777777" w:rsidR="0044320E" w:rsidRPr="00E81D4F" w:rsidRDefault="0044320E" w:rsidP="0044320E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Times"/>
          <w:b/>
          <w:bCs/>
          <w:sz w:val="50"/>
          <w:szCs w:val="50"/>
        </w:rPr>
      </w:pPr>
      <w:bookmarkStart w:id="0" w:name="_GoBack"/>
      <w:bookmarkEnd w:id="0"/>
      <w:r w:rsidRPr="00E81D4F">
        <w:rPr>
          <w:rFonts w:ascii="Calibri" w:hAnsi="Calibri" w:cs="Times"/>
          <w:b/>
          <w:bCs/>
          <w:sz w:val="50"/>
          <w:szCs w:val="50"/>
        </w:rPr>
        <w:t>Federal Lands Access Program (FLAP)</w:t>
      </w:r>
    </w:p>
    <w:p w14:paraId="018A644C" w14:textId="1B097B06" w:rsidR="0044320E" w:rsidRPr="00496726" w:rsidRDefault="00801B41" w:rsidP="0044320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b/>
          <w:bCs/>
          <w:sz w:val="28"/>
          <w:szCs w:val="28"/>
        </w:rPr>
        <w:t>Advocacy</w:t>
      </w:r>
      <w:r w:rsidR="0044320E">
        <w:rPr>
          <w:rFonts w:ascii="Calibri" w:hAnsi="Calibri" w:cs="Times"/>
          <w:b/>
          <w:bCs/>
          <w:sz w:val="28"/>
          <w:szCs w:val="28"/>
        </w:rPr>
        <w:t xml:space="preserve"> Guide </w:t>
      </w:r>
    </w:p>
    <w:p w14:paraId="02AAED41" w14:textId="50A4A5BD" w:rsidR="00F8351E" w:rsidRDefault="00935E6A" w:rsidP="0044320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Cs/>
          <w:i/>
          <w:sz w:val="22"/>
          <w:szCs w:val="22"/>
        </w:rPr>
      </w:pPr>
      <w:r w:rsidRPr="00935E6A">
        <w:rPr>
          <w:rFonts w:ascii="Calibri" w:hAnsi="Calibri" w:cs="Times"/>
          <w:bCs/>
          <w:i/>
          <w:sz w:val="22"/>
          <w:szCs w:val="22"/>
        </w:rPr>
        <w:t xml:space="preserve">The Federal Lands Access Program (FLAP) is a </w:t>
      </w:r>
      <w:r w:rsidR="00801B41">
        <w:rPr>
          <w:rFonts w:ascii="Calibri" w:hAnsi="Calibri" w:cs="Times"/>
          <w:bCs/>
          <w:i/>
          <w:sz w:val="22"/>
          <w:szCs w:val="22"/>
        </w:rPr>
        <w:t>new funding source under the</w:t>
      </w:r>
      <w:r w:rsidRPr="00935E6A">
        <w:rPr>
          <w:rFonts w:ascii="Calibri" w:hAnsi="Calibri" w:cs="Times"/>
          <w:bCs/>
          <w:i/>
          <w:sz w:val="22"/>
          <w:szCs w:val="22"/>
        </w:rPr>
        <w:t xml:space="preserve"> federal transportation bill, MAP-21, for which bicycle and pedestrian projects connecting to public lands are eligible.</w:t>
      </w:r>
      <w:r w:rsidR="00B23E89">
        <w:rPr>
          <w:rFonts w:ascii="Calibri" w:hAnsi="Calibri" w:cs="Times"/>
          <w:bCs/>
          <w:i/>
          <w:sz w:val="22"/>
          <w:szCs w:val="22"/>
        </w:rPr>
        <w:t xml:space="preserve"> For more detailed information on this program, download the FLAP Fact Sheet: </w:t>
      </w:r>
      <w:hyperlink r:id="rId9" w:history="1">
        <w:r w:rsidR="00F8351E" w:rsidRPr="00137667">
          <w:rPr>
            <w:rStyle w:val="Hyperlink"/>
            <w:rFonts w:ascii="Calibri" w:hAnsi="Calibri" w:cs="Times"/>
            <w:bCs/>
            <w:i/>
            <w:sz w:val="22"/>
            <w:szCs w:val="22"/>
          </w:rPr>
          <w:t>www.advocacyadvance.org/site_images/content/FLAP_combined(1).pdf</w:t>
        </w:r>
      </w:hyperlink>
    </w:p>
    <w:p w14:paraId="034401D8" w14:textId="725C9626" w:rsidR="0044320E" w:rsidRPr="0044320E" w:rsidRDefault="00935E6A" w:rsidP="0044320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A new funding program for biking and walking</w:t>
      </w:r>
    </w:p>
    <w:p w14:paraId="63075F05" w14:textId="77777777" w:rsidR="0044320E" w:rsidRPr="00935E6A" w:rsidRDefault="0095423A" w:rsidP="00935E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libri" w:hAnsi="Calibri" w:cs="Times"/>
          <w:bCs/>
          <w:sz w:val="22"/>
          <w:szCs w:val="22"/>
        </w:rPr>
      </w:pPr>
      <w:r w:rsidRPr="00935E6A">
        <w:rPr>
          <w:rFonts w:ascii="Calibri" w:hAnsi="Calibri" w:cs="Times"/>
          <w:bCs/>
          <w:sz w:val="22"/>
          <w:szCs w:val="22"/>
        </w:rPr>
        <w:t xml:space="preserve">$250 million </w:t>
      </w:r>
      <w:r w:rsidR="00BA2B09" w:rsidRPr="00935E6A">
        <w:rPr>
          <w:rFonts w:ascii="Calibri" w:hAnsi="Calibri" w:cs="Times"/>
          <w:bCs/>
          <w:sz w:val="22"/>
          <w:szCs w:val="22"/>
        </w:rPr>
        <w:t xml:space="preserve">is authorized </w:t>
      </w:r>
      <w:r w:rsidRPr="00935E6A">
        <w:rPr>
          <w:rFonts w:ascii="Calibri" w:hAnsi="Calibri" w:cs="Times"/>
          <w:bCs/>
          <w:sz w:val="22"/>
          <w:szCs w:val="22"/>
        </w:rPr>
        <w:t>per year, a portion of which can be used to support trails and b</w:t>
      </w:r>
      <w:r w:rsidR="009A26F4" w:rsidRPr="00935E6A">
        <w:rPr>
          <w:rFonts w:ascii="Calibri" w:hAnsi="Calibri" w:cs="Times"/>
          <w:bCs/>
          <w:sz w:val="22"/>
          <w:szCs w:val="22"/>
        </w:rPr>
        <w:t>ike/</w:t>
      </w:r>
      <w:proofErr w:type="spellStart"/>
      <w:r w:rsidR="009A26F4" w:rsidRPr="00935E6A">
        <w:rPr>
          <w:rFonts w:ascii="Calibri" w:hAnsi="Calibri" w:cs="Times"/>
          <w:bCs/>
          <w:sz w:val="22"/>
          <w:szCs w:val="22"/>
        </w:rPr>
        <w:t>ped</w:t>
      </w:r>
      <w:proofErr w:type="spellEnd"/>
      <w:r w:rsidR="009A26F4" w:rsidRPr="00935E6A">
        <w:rPr>
          <w:rFonts w:ascii="Calibri" w:hAnsi="Calibri" w:cs="Times"/>
          <w:bCs/>
          <w:sz w:val="22"/>
          <w:szCs w:val="22"/>
        </w:rPr>
        <w:t xml:space="preserve"> planning and facilities</w:t>
      </w:r>
      <w:r w:rsidR="00F91091">
        <w:rPr>
          <w:rFonts w:ascii="Calibri" w:hAnsi="Calibri" w:cs="Times"/>
          <w:bCs/>
          <w:sz w:val="22"/>
          <w:szCs w:val="22"/>
        </w:rPr>
        <w:t>.</w:t>
      </w:r>
    </w:p>
    <w:p w14:paraId="2CD53712" w14:textId="77777777" w:rsidR="0095423A" w:rsidRPr="00935E6A" w:rsidRDefault="0095423A" w:rsidP="00935E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libri" w:hAnsi="Calibri" w:cs="Times"/>
          <w:bCs/>
          <w:sz w:val="22"/>
          <w:szCs w:val="22"/>
        </w:rPr>
      </w:pPr>
      <w:r w:rsidRPr="00935E6A">
        <w:rPr>
          <w:rFonts w:ascii="Calibri" w:hAnsi="Calibri" w:cs="Times"/>
          <w:bCs/>
          <w:sz w:val="22"/>
          <w:szCs w:val="22"/>
        </w:rPr>
        <w:t xml:space="preserve">Recipients of FLAP funding are state and local agencies and </w:t>
      </w:r>
      <w:r w:rsidRPr="00935E6A">
        <w:rPr>
          <w:rFonts w:ascii="Calibri" w:hAnsi="Calibri" w:cs="Times"/>
          <w:bCs/>
          <w:i/>
          <w:sz w:val="22"/>
          <w:szCs w:val="22"/>
        </w:rPr>
        <w:t>not</w:t>
      </w:r>
      <w:r w:rsidRPr="00935E6A">
        <w:rPr>
          <w:rFonts w:ascii="Calibri" w:hAnsi="Calibri" w:cs="Times"/>
          <w:bCs/>
          <w:sz w:val="22"/>
          <w:szCs w:val="22"/>
        </w:rPr>
        <w:t xml:space="preserve"> federal la</w:t>
      </w:r>
      <w:r w:rsidR="009A26F4" w:rsidRPr="00935E6A">
        <w:rPr>
          <w:rFonts w:ascii="Calibri" w:hAnsi="Calibri" w:cs="Times"/>
          <w:bCs/>
          <w:sz w:val="22"/>
          <w:szCs w:val="22"/>
        </w:rPr>
        <w:t>nd agencies</w:t>
      </w:r>
      <w:r w:rsidR="00F91091">
        <w:rPr>
          <w:rFonts w:ascii="Calibri" w:hAnsi="Calibri" w:cs="Times"/>
          <w:bCs/>
          <w:sz w:val="22"/>
          <w:szCs w:val="22"/>
        </w:rPr>
        <w:t>.</w:t>
      </w:r>
    </w:p>
    <w:p w14:paraId="0AAE8416" w14:textId="77777777" w:rsidR="00BA2B09" w:rsidRPr="00935E6A" w:rsidRDefault="00BA2B09" w:rsidP="00935E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libri" w:hAnsi="Calibri" w:cs="Times"/>
          <w:bCs/>
          <w:sz w:val="22"/>
          <w:szCs w:val="22"/>
        </w:rPr>
      </w:pPr>
      <w:r w:rsidRPr="00935E6A">
        <w:rPr>
          <w:rFonts w:ascii="Calibri" w:hAnsi="Calibri" w:cs="Times"/>
          <w:bCs/>
          <w:sz w:val="22"/>
          <w:szCs w:val="22"/>
        </w:rPr>
        <w:t>Planning and construction activities are eligible</w:t>
      </w:r>
      <w:r w:rsidR="00F91091">
        <w:rPr>
          <w:rFonts w:ascii="Calibri" w:hAnsi="Calibri" w:cs="Times"/>
          <w:bCs/>
          <w:sz w:val="22"/>
          <w:szCs w:val="22"/>
        </w:rPr>
        <w:t>.</w:t>
      </w:r>
    </w:p>
    <w:p w14:paraId="640DEB99" w14:textId="24561B6D" w:rsidR="009A26F4" w:rsidRPr="00935E6A" w:rsidRDefault="009A26F4" w:rsidP="00935E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libri" w:hAnsi="Calibri" w:cs="Times"/>
          <w:bCs/>
          <w:sz w:val="22"/>
          <w:szCs w:val="22"/>
        </w:rPr>
      </w:pPr>
      <w:r w:rsidRPr="00935E6A">
        <w:rPr>
          <w:rFonts w:ascii="Calibri" w:hAnsi="Calibri" w:cs="Times"/>
          <w:bCs/>
          <w:sz w:val="22"/>
          <w:szCs w:val="22"/>
        </w:rPr>
        <w:t>Federal high-use areas and economic generators are given preference</w:t>
      </w:r>
      <w:r w:rsidR="00F91091">
        <w:rPr>
          <w:rFonts w:ascii="Calibri" w:hAnsi="Calibri" w:cs="Times"/>
          <w:bCs/>
          <w:sz w:val="22"/>
          <w:szCs w:val="22"/>
        </w:rPr>
        <w:t>.</w:t>
      </w:r>
    </w:p>
    <w:p w14:paraId="051441D9" w14:textId="77777777" w:rsidR="009A26F4" w:rsidRPr="00935E6A" w:rsidRDefault="009A26F4" w:rsidP="00935E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libri" w:hAnsi="Calibri" w:cs="Times"/>
          <w:bCs/>
          <w:sz w:val="22"/>
          <w:szCs w:val="22"/>
        </w:rPr>
      </w:pPr>
      <w:r w:rsidRPr="00935E6A">
        <w:rPr>
          <w:rFonts w:ascii="Calibri" w:hAnsi="Calibri" w:cs="Times"/>
          <w:bCs/>
          <w:sz w:val="22"/>
          <w:szCs w:val="22"/>
        </w:rPr>
        <w:t>Most states require a 20% match</w:t>
      </w:r>
      <w:r w:rsidR="00F91091">
        <w:rPr>
          <w:rFonts w:ascii="Calibri" w:hAnsi="Calibri" w:cs="Times"/>
          <w:bCs/>
          <w:sz w:val="22"/>
          <w:szCs w:val="22"/>
        </w:rPr>
        <w:t>.</w:t>
      </w:r>
    </w:p>
    <w:p w14:paraId="752EDF92" w14:textId="77777777" w:rsidR="009A26F4" w:rsidRDefault="009A26F4" w:rsidP="009A26F4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State level decision-making</w:t>
      </w:r>
    </w:p>
    <w:p w14:paraId="2243D7A8" w14:textId="2BAF0AEF" w:rsidR="009A26F4" w:rsidRDefault="009A26F4" w:rsidP="00935E6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 w:rsidRPr="00880415">
        <w:rPr>
          <w:rFonts w:ascii="Calibri" w:hAnsi="Calibri" w:cs="Times"/>
          <w:sz w:val="22"/>
          <w:szCs w:val="22"/>
        </w:rPr>
        <w:t>Eighty percent of the funding from this program will be distributed to 12 western states leaving $50M /year to be divided among</w:t>
      </w:r>
      <w:r w:rsidR="00935E6A">
        <w:rPr>
          <w:rFonts w:ascii="Calibri" w:hAnsi="Calibri" w:cs="Times"/>
          <w:sz w:val="22"/>
          <w:szCs w:val="22"/>
        </w:rPr>
        <w:t xml:space="preserve"> the other 38 states</w:t>
      </w:r>
      <w:r w:rsidR="000837B6">
        <w:rPr>
          <w:rFonts w:ascii="Calibri" w:hAnsi="Calibri" w:cs="Times"/>
          <w:sz w:val="22"/>
          <w:szCs w:val="22"/>
        </w:rPr>
        <w:t xml:space="preserve"> (see Appendix I)</w:t>
      </w:r>
      <w:r w:rsidR="00935E6A">
        <w:rPr>
          <w:rFonts w:ascii="Calibri" w:hAnsi="Calibri" w:cs="Times"/>
          <w:sz w:val="22"/>
          <w:szCs w:val="22"/>
        </w:rPr>
        <w:t>.</w:t>
      </w:r>
    </w:p>
    <w:p w14:paraId="1FB50600" w14:textId="26E5F704" w:rsidR="009A26F4" w:rsidRDefault="009A26F4" w:rsidP="00935E6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Each state has a unique decision-making process. See state</w:t>
      </w:r>
      <w:r w:rsidR="00F91091">
        <w:rPr>
          <w:rFonts w:ascii="Calibri" w:hAnsi="Calibri" w:cs="Times"/>
          <w:sz w:val="22"/>
          <w:szCs w:val="22"/>
        </w:rPr>
        <w:t xml:space="preserve">-specific </w:t>
      </w:r>
      <w:r w:rsidR="000837B6">
        <w:rPr>
          <w:rFonts w:ascii="Calibri" w:hAnsi="Calibri" w:cs="Times"/>
          <w:sz w:val="22"/>
          <w:szCs w:val="22"/>
        </w:rPr>
        <w:t xml:space="preserve">funding amounts and application </w:t>
      </w:r>
      <w:r w:rsidR="00F91091">
        <w:rPr>
          <w:rFonts w:ascii="Calibri" w:hAnsi="Calibri" w:cs="Times"/>
          <w:sz w:val="22"/>
          <w:szCs w:val="22"/>
        </w:rPr>
        <w:t>information</w:t>
      </w:r>
      <w:r>
        <w:rPr>
          <w:rFonts w:ascii="Calibri" w:hAnsi="Calibri" w:cs="Times"/>
          <w:sz w:val="22"/>
          <w:szCs w:val="22"/>
        </w:rPr>
        <w:t xml:space="preserve">: </w:t>
      </w:r>
      <w:hyperlink r:id="rId10" w:history="1">
        <w:r w:rsidR="00AF49F5" w:rsidRPr="00137667">
          <w:rPr>
            <w:rStyle w:val="Hyperlink"/>
            <w:rFonts w:ascii="Calibri" w:hAnsi="Calibri" w:cs="Times"/>
            <w:sz w:val="22"/>
            <w:szCs w:val="22"/>
          </w:rPr>
          <w:t>www.advocacyadvance.org/site_images/content/FLAP_state.pdf</w:t>
        </w:r>
      </w:hyperlink>
      <w:r w:rsidR="00AF49F5">
        <w:rPr>
          <w:rFonts w:ascii="Calibri" w:hAnsi="Calibri" w:cs="Times"/>
          <w:sz w:val="22"/>
          <w:szCs w:val="22"/>
        </w:rPr>
        <w:t xml:space="preserve"> </w:t>
      </w:r>
    </w:p>
    <w:p w14:paraId="7EB3E9CA" w14:textId="77777777" w:rsidR="00935E6A" w:rsidRDefault="00935E6A" w:rsidP="00935E6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Bicycle and pedestrian projects will compete with eligible bridge and highway projects</w:t>
      </w:r>
      <w:r w:rsidR="00F91091">
        <w:rPr>
          <w:rFonts w:ascii="Calibri" w:hAnsi="Calibri" w:cs="Times"/>
          <w:sz w:val="22"/>
          <w:szCs w:val="22"/>
        </w:rPr>
        <w:t>. Funded projects must be on the State Transportation Improvement Program (STIP).</w:t>
      </w:r>
    </w:p>
    <w:p w14:paraId="571CE8A3" w14:textId="77777777" w:rsidR="00935E6A" w:rsidRDefault="00935E6A" w:rsidP="00935E6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Funding requires broad collaboration and support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0B15919B" w14:textId="77777777" w:rsidR="00935E6A" w:rsidRDefault="00935E6A" w:rsidP="00935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b/>
          <w:sz w:val="22"/>
          <w:szCs w:val="22"/>
        </w:rPr>
        <w:t>Nothing ventured; much to lose</w:t>
      </w:r>
    </w:p>
    <w:p w14:paraId="557F995C" w14:textId="77777777" w:rsidR="00935E6A" w:rsidRDefault="00935E6A" w:rsidP="00935E6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Use this as an opportunity to engage your federal lands manager in a discussion of improved bike/</w:t>
      </w:r>
      <w:proofErr w:type="spellStart"/>
      <w:r>
        <w:rPr>
          <w:rFonts w:ascii="Calibri" w:hAnsi="Calibri" w:cs="Times"/>
          <w:sz w:val="22"/>
          <w:szCs w:val="22"/>
        </w:rPr>
        <w:t>ped</w:t>
      </w:r>
      <w:proofErr w:type="spellEnd"/>
      <w:r>
        <w:rPr>
          <w:rFonts w:ascii="Calibri" w:hAnsi="Calibri" w:cs="Times"/>
          <w:sz w:val="22"/>
          <w:szCs w:val="22"/>
        </w:rPr>
        <w:t xml:space="preserve"> access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1B2B4527" w14:textId="4FAFF0A0" w:rsidR="00935E6A" w:rsidRDefault="00935E6A" w:rsidP="00935E6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Contact </w:t>
      </w:r>
      <w:r w:rsidR="00F91091">
        <w:rPr>
          <w:rFonts w:ascii="Calibri" w:hAnsi="Calibri" w:cs="Times"/>
          <w:sz w:val="22"/>
          <w:szCs w:val="22"/>
        </w:rPr>
        <w:t xml:space="preserve">your </w:t>
      </w:r>
      <w:r>
        <w:rPr>
          <w:rFonts w:ascii="Calibri" w:hAnsi="Calibri" w:cs="Times"/>
          <w:sz w:val="22"/>
          <w:szCs w:val="22"/>
        </w:rPr>
        <w:t>FHWA regional program administrator</w:t>
      </w:r>
      <w:r w:rsidR="000837B6">
        <w:rPr>
          <w:rFonts w:ascii="Calibri" w:hAnsi="Calibri" w:cs="Times"/>
          <w:sz w:val="22"/>
          <w:szCs w:val="22"/>
        </w:rPr>
        <w:t xml:space="preserve"> (Appendix I)</w:t>
      </w:r>
      <w:r>
        <w:rPr>
          <w:rFonts w:ascii="Calibri" w:hAnsi="Calibri" w:cs="Times"/>
          <w:sz w:val="22"/>
          <w:szCs w:val="22"/>
        </w:rPr>
        <w:t xml:space="preserve"> to demonstrate interest in biking and walking projects, not just roads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66089DC4" w14:textId="30097CA4" w:rsidR="00935E6A" w:rsidRDefault="00935E6A" w:rsidP="00935E6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As a new and small program, FLAP may </w:t>
      </w:r>
      <w:r w:rsidR="000837B6">
        <w:rPr>
          <w:rFonts w:ascii="Calibri" w:hAnsi="Calibri" w:cs="Times"/>
          <w:sz w:val="22"/>
          <w:szCs w:val="22"/>
        </w:rPr>
        <w:t>provide</w:t>
      </w:r>
      <w:r>
        <w:rPr>
          <w:rFonts w:ascii="Calibri" w:hAnsi="Calibri" w:cs="Times"/>
          <w:sz w:val="22"/>
          <w:szCs w:val="22"/>
        </w:rPr>
        <w:t xml:space="preserve"> opportunities to be creative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739955AC" w14:textId="77777777" w:rsidR="00935E6A" w:rsidRDefault="00935E6A" w:rsidP="00935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b/>
          <w:sz w:val="22"/>
          <w:szCs w:val="22"/>
        </w:rPr>
        <w:t>Getting started</w:t>
      </w:r>
    </w:p>
    <w:p w14:paraId="5C788FC8" w14:textId="77777777" w:rsidR="00935E6A" w:rsidRDefault="00935E6A" w:rsidP="00935E6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Start by meeting with federal land managers – they may have projects in mind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7433040D" w14:textId="2402829E" w:rsidR="0047506A" w:rsidRPr="00AF49F5" w:rsidRDefault="00935E6A" w:rsidP="0047506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 w:rsidRPr="00AF49F5">
        <w:rPr>
          <w:rFonts w:ascii="Calibri" w:hAnsi="Calibri" w:cs="Times"/>
          <w:sz w:val="22"/>
          <w:szCs w:val="22"/>
        </w:rPr>
        <w:t xml:space="preserve">Call your state </w:t>
      </w:r>
      <w:r w:rsidR="00F91091" w:rsidRPr="00AF49F5">
        <w:rPr>
          <w:rFonts w:ascii="Calibri" w:hAnsi="Calibri" w:cs="Times"/>
          <w:sz w:val="22"/>
          <w:szCs w:val="22"/>
        </w:rPr>
        <w:t>FLAP contacts</w:t>
      </w:r>
      <w:r w:rsidRPr="00AF49F5">
        <w:rPr>
          <w:rFonts w:ascii="Calibri" w:hAnsi="Calibri" w:cs="Times"/>
          <w:sz w:val="22"/>
          <w:szCs w:val="22"/>
        </w:rPr>
        <w:t xml:space="preserve"> to find deadlines and process</w:t>
      </w:r>
      <w:r w:rsidR="00F91091" w:rsidRPr="00AF49F5">
        <w:rPr>
          <w:rFonts w:ascii="Calibri" w:hAnsi="Calibri" w:cs="Times"/>
          <w:sz w:val="22"/>
          <w:szCs w:val="22"/>
        </w:rPr>
        <w:t xml:space="preserve">. See state-specific information: </w:t>
      </w:r>
      <w:hyperlink r:id="rId11" w:history="1">
        <w:r w:rsidR="00AF49F5" w:rsidRPr="00AF49F5">
          <w:rPr>
            <w:rStyle w:val="Hyperlink"/>
            <w:rFonts w:ascii="Calibri" w:hAnsi="Calibri"/>
            <w:sz w:val="22"/>
            <w:szCs w:val="22"/>
          </w:rPr>
          <w:t>www.advocacyadvance.org/site_images/content/FLAP_state.pdf</w:t>
        </w:r>
      </w:hyperlink>
      <w:r w:rsidR="00AF49F5" w:rsidRPr="00AF49F5">
        <w:rPr>
          <w:rFonts w:ascii="Calibri" w:hAnsi="Calibri"/>
          <w:sz w:val="22"/>
          <w:szCs w:val="22"/>
        </w:rPr>
        <w:t xml:space="preserve"> </w:t>
      </w:r>
    </w:p>
    <w:p w14:paraId="4D37CA92" w14:textId="3FA2E969" w:rsidR="00586954" w:rsidRPr="00163CBF" w:rsidRDefault="00586954" w:rsidP="00586954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i/>
          <w:sz w:val="22"/>
          <w:szCs w:val="22"/>
          <w:u w:val="single"/>
        </w:rPr>
      </w:pPr>
      <w:r>
        <w:rPr>
          <w:rFonts w:ascii="Calibri" w:hAnsi="Calibri" w:cs="Times"/>
          <w:sz w:val="22"/>
          <w:szCs w:val="22"/>
        </w:rPr>
        <w:t>Get letters of support from elected officials and community partners</w:t>
      </w:r>
      <w:r w:rsidR="000837B6">
        <w:rPr>
          <w:rFonts w:ascii="Calibri" w:hAnsi="Calibri" w:cs="Times"/>
          <w:sz w:val="22"/>
          <w:szCs w:val="22"/>
        </w:rPr>
        <w:t xml:space="preserve"> (Appendix II)</w:t>
      </w:r>
      <w:r>
        <w:rPr>
          <w:rFonts w:ascii="Calibri" w:hAnsi="Calibri" w:cs="Times"/>
          <w:sz w:val="22"/>
          <w:szCs w:val="22"/>
        </w:rPr>
        <w:t xml:space="preserve">. </w:t>
      </w:r>
    </w:p>
    <w:p w14:paraId="26EF32F1" w14:textId="506D75C4" w:rsidR="00F91091" w:rsidRPr="00F91091" w:rsidRDefault="00843B0C" w:rsidP="00F91091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0507B" wp14:editId="436EEB42">
                <wp:simplePos x="0" y="0"/>
                <wp:positionH relativeFrom="column">
                  <wp:posOffset>3657600</wp:posOffset>
                </wp:positionH>
                <wp:positionV relativeFrom="paragraph">
                  <wp:posOffset>-77470</wp:posOffset>
                </wp:positionV>
                <wp:extent cx="2057400" cy="3886200"/>
                <wp:effectExtent l="76200" t="50800" r="76200" b="101600"/>
                <wp:wrapTight wrapText="bothSides">
                  <wp:wrapPolygon edited="0">
                    <wp:start x="-533" y="-282"/>
                    <wp:lineTo x="-800" y="-282"/>
                    <wp:lineTo x="-800" y="22024"/>
                    <wp:lineTo x="22133" y="22024"/>
                    <wp:lineTo x="22133" y="1976"/>
                    <wp:lineTo x="21867" y="-141"/>
                    <wp:lineTo x="21867" y="-282"/>
                    <wp:lineTo x="-533" y="-282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86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68708" w14:textId="77777777" w:rsidR="00843B0C" w:rsidRPr="00B347FE" w:rsidRDefault="00843B0C" w:rsidP="00843B0C">
                            <w:pPr>
                              <w:spacing w:after="280"/>
                              <w:contextualSpacing/>
                              <w:rPr>
                                <w:rFonts w:ascii="Calibri" w:hAnsi="Calibri" w:cs="Apple Chancery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Advocacy Story: Teton Pass Centennial Trail (Wyoming Pathways)</w:t>
                            </w:r>
                          </w:p>
                          <w:p w14:paraId="2B570CF5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Advocates researched MAP-21 and analyzed Federal Lands programs.</w:t>
                            </w:r>
                          </w:p>
                          <w:p w14:paraId="4598DEAE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Wyoming Pathways and Teton Valley Trails and Pathways organized citizen support committee, developed initial FLAP Grant concept.</w:t>
                            </w:r>
                          </w:p>
                          <w:p w14:paraId="14A3A496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Initial meetings with Forest Service Land Manager for by-in, support.</w:t>
                            </w:r>
                          </w:p>
                          <w:p w14:paraId="64EDCD21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Meetings with project sponsors and discussions on Match source; nonprofits pledged to assist with match and maintenance.</w:t>
                            </w:r>
                          </w:p>
                          <w:p w14:paraId="11E36580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Field visits, cost estimates, project development – Advocates organized and agencies attended.</w:t>
                            </w:r>
                          </w:p>
                          <w:p w14:paraId="5BB9924D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Advocates helped write and edit the grant applications for local sponsors.</w:t>
                            </w:r>
                          </w:p>
                          <w:p w14:paraId="792E73A7" w14:textId="77777777" w:rsidR="00843B0C" w:rsidRPr="00B347FE" w:rsidRDefault="00843B0C" w:rsidP="00843B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80"/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7FE"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  <w:t>Advocates drafted and secured support letters.</w:t>
                            </w:r>
                          </w:p>
                          <w:p w14:paraId="0617CC27" w14:textId="77777777" w:rsidR="00843B0C" w:rsidRPr="00B347FE" w:rsidRDefault="00843B0C" w:rsidP="00843B0C">
                            <w:pPr>
                              <w:rPr>
                                <w:rFonts w:ascii="Calibri" w:hAnsi="Calibri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-6.05pt;width:162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" fillcolor="#d6e3bc [1302]" strokecolor="white [3201]" strokeweight="3pt">
                <v:shadow on="t" opacity="24903f" mv:blur="40000f" origin=",.5" offset="0,20000emu"/>
                <v:textbox>
                  <w:txbxContent>
                    <w:p w14:paraId="4F668708" w14:textId="77777777" w:rsidR="00843B0C" w:rsidRPr="00B347FE" w:rsidRDefault="00843B0C" w:rsidP="00843B0C">
                      <w:pPr>
                        <w:spacing w:after="280"/>
                        <w:contextualSpacing/>
                        <w:rPr>
                          <w:rFonts w:ascii="Calibri" w:hAnsi="Calibri" w:cs="Apple Chancery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B347FE">
                        <w:rPr>
                          <w:rFonts w:ascii="Calibri" w:hAnsi="Calibri" w:cs="Apple Chancery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Advocacy Story: Teton Pass Centennial Trail (Wyoming Pathways)</w:t>
                      </w:r>
                    </w:p>
                    <w:p w14:paraId="2B570CF5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Advocates researched MAP-21 and analyzed Federal Lands programs.</w:t>
                      </w:r>
                    </w:p>
                    <w:p w14:paraId="4598DEAE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Wyoming Pathways and Teton Valley Trails and Pathways organized citizen support committee, developed initial FLAP Grant concept.</w:t>
                      </w:r>
                    </w:p>
                    <w:p w14:paraId="14A3A496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Initial meetings with Forest Service Land Manager for by-in, support.</w:t>
                      </w:r>
                    </w:p>
                    <w:p w14:paraId="64EDCD21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Meetings with project sponsors and discussions on Match source; nonprofits pledged to assist with match and maintenance.</w:t>
                      </w:r>
                    </w:p>
                    <w:p w14:paraId="11E36580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Field visits, cost estimates, project development – Advocates organized and agencies attended.</w:t>
                      </w:r>
                    </w:p>
                    <w:p w14:paraId="5BB9924D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Advocates helped write and edit the grant applications for local sponsors.</w:t>
                      </w:r>
                    </w:p>
                    <w:p w14:paraId="792E73A7" w14:textId="77777777" w:rsidR="00843B0C" w:rsidRPr="00B347FE" w:rsidRDefault="00843B0C" w:rsidP="00843B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80"/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  <w:r w:rsidRPr="00B347FE"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  <w:t>Advocates drafted and secured support letters.</w:t>
                      </w:r>
                    </w:p>
                    <w:p w14:paraId="0617CC27" w14:textId="77777777" w:rsidR="00843B0C" w:rsidRPr="00B347FE" w:rsidRDefault="00843B0C" w:rsidP="00843B0C">
                      <w:pPr>
                        <w:rPr>
                          <w:rFonts w:ascii="Calibri" w:hAnsi="Calibri" w:cs="Apple Chancery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91091" w:rsidRPr="00F91091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If the application deadline has passed for your state, spread the word about this program since funding will also be available in 2014.</w:t>
      </w:r>
    </w:p>
    <w:p w14:paraId="4182115B" w14:textId="6C7A6F40" w:rsidR="00935E6A" w:rsidRDefault="00935E6A" w:rsidP="00935E6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Small projects and plans may find an opportunity for funding – this would be the first step towards a bigger vision</w:t>
      </w:r>
      <w:r w:rsidR="00F91091">
        <w:rPr>
          <w:rFonts w:ascii="Calibri" w:hAnsi="Calibri" w:cs="Times"/>
          <w:sz w:val="22"/>
          <w:szCs w:val="22"/>
        </w:rPr>
        <w:t>.</w:t>
      </w:r>
    </w:p>
    <w:p w14:paraId="3893B164" w14:textId="1144133A" w:rsidR="00B347FE" w:rsidRDefault="00B347FE" w:rsidP="00D223CF">
      <w:pPr>
        <w:spacing w:after="2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Role of Advocacy Organizations for FLAP Projects</w:t>
      </w:r>
    </w:p>
    <w:p w14:paraId="1584BC46" w14:textId="709CDA9E" w:rsidR="007A4E7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Prepare photo simulations for concept development.</w:t>
      </w:r>
    </w:p>
    <w:p w14:paraId="20379556" w14:textId="66B4AEEB" w:rsidR="007A4E7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Assist with cost estimates.</w:t>
      </w:r>
    </w:p>
    <w:p w14:paraId="0F68B7CC" w14:textId="1864C2B4" w:rsidR="007A4E7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Prepare maps and exhibits.</w:t>
      </w:r>
    </w:p>
    <w:p w14:paraId="3F5FBF63" w14:textId="280ADB11" w:rsidR="007A4E7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Generate strong community support to help secure project sponsors.</w:t>
      </w:r>
    </w:p>
    <w:p w14:paraId="573E0E3B" w14:textId="10663E7E" w:rsidR="007A4E7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Assist with media efforts.</w:t>
      </w:r>
    </w:p>
    <w:p w14:paraId="771D86CE" w14:textId="29B56AC4" w:rsidR="00843B0C" w:rsidRPr="00843B0C" w:rsidRDefault="00843B0C" w:rsidP="00843B0C">
      <w:pPr>
        <w:pStyle w:val="ListParagraph"/>
        <w:numPr>
          <w:ilvl w:val="0"/>
          <w:numId w:val="30"/>
        </w:numPr>
        <w:spacing w:after="280"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Solve problems and issues creatively.</w:t>
      </w:r>
    </w:p>
    <w:p w14:paraId="3968885D" w14:textId="30CAF3D8" w:rsidR="00843B0C" w:rsidRDefault="00843B0C" w:rsidP="00D223CF">
      <w:pPr>
        <w:spacing w:after="2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to do if Your States’ Deadline Has Passed?</w:t>
      </w:r>
    </w:p>
    <w:p w14:paraId="6CFA3A55" w14:textId="77777777" w:rsidR="007A4E7C" w:rsidRPr="00843B0C" w:rsidRDefault="00843B0C" w:rsidP="00843B0C">
      <w:pPr>
        <w:numPr>
          <w:ilvl w:val="0"/>
          <w:numId w:val="28"/>
        </w:numPr>
        <w:spacing w:after="280"/>
        <w:contextualSpacing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Start getting ready for next year.</w:t>
      </w:r>
    </w:p>
    <w:p w14:paraId="569CBE12" w14:textId="1B02573A" w:rsidR="007A4E7C" w:rsidRPr="00843B0C" w:rsidRDefault="00843B0C" w:rsidP="00843B0C">
      <w:pPr>
        <w:numPr>
          <w:ilvl w:val="0"/>
          <w:numId w:val="28"/>
        </w:numPr>
        <w:spacing w:after="280"/>
        <w:contextualSpacing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 xml:space="preserve">Learn the program </w:t>
      </w:r>
      <w:proofErr w:type="gramStart"/>
      <w:r w:rsidRPr="00843B0C">
        <w:rPr>
          <w:rFonts w:ascii="Calibri" w:hAnsi="Calibri"/>
          <w:sz w:val="22"/>
          <w:szCs w:val="22"/>
        </w:rPr>
        <w:t>details,</w:t>
      </w:r>
      <w:proofErr w:type="gramEnd"/>
      <w:r w:rsidRPr="00843B0C">
        <w:rPr>
          <w:rFonts w:ascii="Calibri" w:hAnsi="Calibri"/>
          <w:sz w:val="22"/>
          <w:szCs w:val="22"/>
        </w:rPr>
        <w:t xml:space="preserve"> identify you</w:t>
      </w:r>
      <w:r>
        <w:rPr>
          <w:rFonts w:ascii="Calibri" w:hAnsi="Calibri"/>
          <w:sz w:val="22"/>
          <w:szCs w:val="22"/>
        </w:rPr>
        <w:t>r</w:t>
      </w:r>
      <w:r w:rsidRPr="00843B0C">
        <w:rPr>
          <w:rFonts w:ascii="Calibri" w:hAnsi="Calibri"/>
          <w:sz w:val="22"/>
          <w:szCs w:val="22"/>
        </w:rPr>
        <w:t xml:space="preserve"> top project that will be competitive.</w:t>
      </w:r>
    </w:p>
    <w:p w14:paraId="5634A7A8" w14:textId="77777777" w:rsidR="007A4E7C" w:rsidRPr="00843B0C" w:rsidRDefault="00843B0C" w:rsidP="00843B0C">
      <w:pPr>
        <w:numPr>
          <w:ilvl w:val="0"/>
          <w:numId w:val="28"/>
        </w:numPr>
        <w:spacing w:after="280"/>
        <w:contextualSpacing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Start to build community support.</w:t>
      </w:r>
    </w:p>
    <w:p w14:paraId="3D10C02F" w14:textId="77777777" w:rsidR="007A4E7C" w:rsidRPr="00843B0C" w:rsidRDefault="00843B0C" w:rsidP="00843B0C">
      <w:pPr>
        <w:numPr>
          <w:ilvl w:val="0"/>
          <w:numId w:val="28"/>
        </w:numPr>
        <w:spacing w:after="280"/>
        <w:contextualSpacing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Meet with the land manager and secure commitment to seek grant.</w:t>
      </w:r>
    </w:p>
    <w:p w14:paraId="74F98333" w14:textId="3708976C" w:rsidR="00843B0C" w:rsidRDefault="00843B0C" w:rsidP="00843B0C">
      <w:pPr>
        <w:numPr>
          <w:ilvl w:val="0"/>
          <w:numId w:val="28"/>
        </w:numPr>
        <w:spacing w:after="280"/>
        <w:contextualSpacing/>
        <w:rPr>
          <w:rFonts w:ascii="Calibri" w:hAnsi="Calibri"/>
          <w:sz w:val="22"/>
          <w:szCs w:val="22"/>
        </w:rPr>
      </w:pPr>
      <w:r w:rsidRPr="00843B0C">
        <w:rPr>
          <w:rFonts w:ascii="Calibri" w:hAnsi="Calibri"/>
          <w:sz w:val="22"/>
          <w:szCs w:val="22"/>
        </w:rPr>
        <w:t>Be a watchdog for the FLAP process in your state – be vigilant!</w:t>
      </w:r>
    </w:p>
    <w:p w14:paraId="5FA5CFEB" w14:textId="77777777" w:rsidR="00843B0C" w:rsidRPr="00843B0C" w:rsidRDefault="00843B0C" w:rsidP="00843B0C">
      <w:pPr>
        <w:spacing w:after="280"/>
        <w:ind w:left="720"/>
        <w:contextualSpacing/>
        <w:rPr>
          <w:rFonts w:ascii="Calibri" w:hAnsi="Calibri"/>
          <w:sz w:val="22"/>
          <w:szCs w:val="22"/>
        </w:rPr>
      </w:pPr>
    </w:p>
    <w:p w14:paraId="066713CB" w14:textId="26D44BB1" w:rsidR="0044320E" w:rsidRPr="00637889" w:rsidRDefault="00843B0C" w:rsidP="00D223CF">
      <w:pPr>
        <w:spacing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Additional </w:t>
      </w:r>
      <w:r w:rsidR="00D223CF" w:rsidRPr="00637889">
        <w:rPr>
          <w:rFonts w:ascii="Calibri" w:hAnsi="Calibri"/>
          <w:b/>
          <w:sz w:val="22"/>
          <w:szCs w:val="22"/>
        </w:rPr>
        <w:t>Tips</w:t>
      </w:r>
      <w:r w:rsidR="00637889" w:rsidRPr="00637889">
        <w:rPr>
          <w:rFonts w:ascii="Calibri" w:hAnsi="Calibri"/>
          <w:b/>
          <w:sz w:val="22"/>
          <w:szCs w:val="22"/>
        </w:rPr>
        <w:t xml:space="preserve"> from </w:t>
      </w:r>
      <w:r>
        <w:rPr>
          <w:rFonts w:ascii="Calibri" w:hAnsi="Calibri"/>
          <w:b/>
          <w:sz w:val="22"/>
          <w:szCs w:val="22"/>
        </w:rPr>
        <w:t>Previous A</w:t>
      </w:r>
      <w:r w:rsidR="00DD1B4C">
        <w:rPr>
          <w:rFonts w:ascii="Calibri" w:hAnsi="Calibri"/>
          <w:b/>
          <w:sz w:val="22"/>
          <w:szCs w:val="22"/>
        </w:rPr>
        <w:t>pplicants</w:t>
      </w:r>
    </w:p>
    <w:p w14:paraId="4B1F7E99" w14:textId="12274D96" w:rsidR="00DD1B4C" w:rsidRPr="00DD1B4C" w:rsidRDefault="00DD1B4C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Each state is different: ask explicit questions about eligibility and definitions</w:t>
      </w:r>
    </w:p>
    <w:p w14:paraId="3AC02A84" w14:textId="77777777" w:rsidR="00DD1B4C" w:rsidRPr="00637889" w:rsidRDefault="00DD1B4C" w:rsidP="00DD1B4C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Ask for the</w:t>
      </w:r>
      <w:r w:rsidRPr="00637889">
        <w:rPr>
          <w:rFonts w:ascii="Calibri" w:hAnsi="Calibri"/>
          <w:sz w:val="22"/>
          <w:szCs w:val="22"/>
        </w:rPr>
        <w:t xml:space="preserve"> definition of </w:t>
      </w:r>
      <w:r>
        <w:rPr>
          <w:rFonts w:ascii="Calibri" w:hAnsi="Calibri"/>
          <w:sz w:val="22"/>
          <w:szCs w:val="22"/>
        </w:rPr>
        <w:t>“</w:t>
      </w:r>
      <w:r w:rsidRPr="00637889">
        <w:rPr>
          <w:rFonts w:ascii="Calibri" w:hAnsi="Calibri"/>
          <w:sz w:val="22"/>
          <w:szCs w:val="22"/>
        </w:rPr>
        <w:t>economic generator</w:t>
      </w:r>
      <w:r>
        <w:rPr>
          <w:rFonts w:ascii="Calibri" w:hAnsi="Calibri"/>
          <w:sz w:val="22"/>
          <w:szCs w:val="22"/>
        </w:rPr>
        <w:t>” (e.g. does this mean a federal high use area?)</w:t>
      </w:r>
    </w:p>
    <w:p w14:paraId="51CB71F6" w14:textId="77777777" w:rsidR="00DD1B4C" w:rsidRPr="00637889" w:rsidRDefault="00DD1B4C" w:rsidP="00DD1B4C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Consider differences between state, regional and local decision-makers and potential concerns for each</w:t>
      </w:r>
    </w:p>
    <w:p w14:paraId="6392FA49" w14:textId="6819813A" w:rsidR="00DD1B4C" w:rsidRPr="00DD1B4C" w:rsidRDefault="00DD1B4C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Work through the details with partners who “own or maintain” the land</w:t>
      </w:r>
    </w:p>
    <w:p w14:paraId="24348D55" w14:textId="028F3637" w:rsidR="00DD1B4C" w:rsidRPr="00DD1B4C" w:rsidRDefault="00DD1B4C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Remember that “supporters” and “doers” may be different people</w:t>
      </w:r>
    </w:p>
    <w:p w14:paraId="2B0CC460" w14:textId="5AFFFF6D" w:rsidR="00637889" w:rsidRPr="00FB0AD3" w:rsidRDefault="00FB0AD3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Don’t ask for too much of the total funding pot; expect competition</w:t>
      </w:r>
    </w:p>
    <w:p w14:paraId="1FF02A6E" w14:textId="0D2D9AA9" w:rsidR="00FB0AD3" w:rsidRPr="00637889" w:rsidRDefault="00FB0AD3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Keep the</w:t>
      </w:r>
      <w:r w:rsidRPr="00637889">
        <w:rPr>
          <w:rFonts w:ascii="Calibri" w:hAnsi="Calibri"/>
          <w:sz w:val="22"/>
          <w:szCs w:val="22"/>
        </w:rPr>
        <w:t xml:space="preserve"> proposal</w:t>
      </w:r>
      <w:r>
        <w:rPr>
          <w:rFonts w:ascii="Calibri" w:hAnsi="Calibri"/>
          <w:sz w:val="22"/>
          <w:szCs w:val="22"/>
        </w:rPr>
        <w:t xml:space="preserve"> short and</w:t>
      </w:r>
      <w:r w:rsidRPr="006378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address potential concerns at the beginning</w:t>
      </w:r>
    </w:p>
    <w:p w14:paraId="58D03910" w14:textId="52FE55DA" w:rsidR="00637889" w:rsidRPr="00DD1B4C" w:rsidRDefault="00FB0AD3" w:rsidP="00FB0A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637889" w:rsidRPr="00637889">
        <w:rPr>
          <w:rFonts w:ascii="Calibri" w:hAnsi="Calibri"/>
          <w:sz w:val="22"/>
          <w:szCs w:val="22"/>
        </w:rPr>
        <w:t xml:space="preserve">nsure </w:t>
      </w:r>
      <w:r>
        <w:rPr>
          <w:rFonts w:ascii="Calibri" w:hAnsi="Calibri"/>
          <w:sz w:val="22"/>
          <w:szCs w:val="22"/>
        </w:rPr>
        <w:t xml:space="preserve">the </w:t>
      </w:r>
      <w:r w:rsidR="00DD1B4C">
        <w:rPr>
          <w:rFonts w:ascii="Calibri" w:hAnsi="Calibri"/>
          <w:sz w:val="22"/>
          <w:szCs w:val="22"/>
        </w:rPr>
        <w:t>Program Decision Committee members for your state understand</w:t>
      </w:r>
      <w:r w:rsidR="00637889" w:rsidRPr="006378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</w:t>
      </w:r>
      <w:r w:rsidR="00637889" w:rsidRPr="00637889">
        <w:rPr>
          <w:rFonts w:ascii="Calibri" w:hAnsi="Calibri"/>
          <w:sz w:val="22"/>
          <w:szCs w:val="22"/>
        </w:rPr>
        <w:t>proposal</w:t>
      </w:r>
    </w:p>
    <w:p w14:paraId="24E759B1" w14:textId="3C5CF71D" w:rsidR="0044320E" w:rsidRPr="00843B0C" w:rsidRDefault="00DD1B4C" w:rsidP="0044320E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Act now! Some states may not have another call for projects for two or three more years</w:t>
      </w:r>
      <w:r w:rsidR="00B347FE">
        <w:rPr>
          <w:rFonts w:ascii="Calibri" w:hAnsi="Calibri"/>
          <w:sz w:val="22"/>
          <w:szCs w:val="22"/>
        </w:rPr>
        <w:t>. If your state’s deadline has passed, make sure agencies know there is demand for future funding.</w:t>
      </w:r>
    </w:p>
    <w:p w14:paraId="0692402C" w14:textId="1E65860B" w:rsidR="000837B6" w:rsidRPr="00843B0C" w:rsidRDefault="00B0541A" w:rsidP="00843B0C">
      <w:pPr>
        <w:rPr>
          <w:rFonts w:ascii="Calibri" w:hAnsi="Calibri"/>
          <w:sz w:val="22"/>
          <w:szCs w:val="22"/>
        </w:rPr>
      </w:pPr>
      <w:r>
        <w:rPr>
          <w:rFonts w:ascii="Calibri" w:hAnsi="Calibri" w:cs="Times"/>
          <w:b/>
          <w:bCs/>
          <w:sz w:val="50"/>
          <w:szCs w:val="50"/>
        </w:rPr>
        <w:lastRenderedPageBreak/>
        <w:t>Appendix I</w:t>
      </w:r>
    </w:p>
    <w:p w14:paraId="33B48910" w14:textId="46B6B09B" w:rsidR="000837B6" w:rsidRDefault="00B0541A" w:rsidP="000837B6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bCs/>
          <w:sz w:val="28"/>
          <w:szCs w:val="28"/>
        </w:rPr>
      </w:pPr>
      <w:r>
        <w:rPr>
          <w:rFonts w:ascii="Calibri" w:hAnsi="Calibri" w:cs="Times"/>
          <w:b/>
          <w:bCs/>
          <w:sz w:val="28"/>
          <w:szCs w:val="28"/>
        </w:rPr>
        <w:t>FHWA Regional Program Administrators</w:t>
      </w:r>
    </w:p>
    <w:p w14:paraId="4E8B322C" w14:textId="2985A0E2" w:rsidR="00AF49F5" w:rsidRDefault="00B0541A" w:rsidP="00AF49F5">
      <w:pPr>
        <w:spacing w:after="2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For state-by-state distribution, timelines and contacts: </w:t>
      </w:r>
      <w:hyperlink r:id="rId12" w:history="1">
        <w:r w:rsidR="00AF49F5" w:rsidRPr="00137667">
          <w:rPr>
            <w:rStyle w:val="Hyperlink"/>
            <w:rFonts w:ascii="Calibri" w:hAnsi="Calibri"/>
            <w:i/>
            <w:sz w:val="22"/>
            <w:szCs w:val="22"/>
          </w:rPr>
          <w:t>www.advocacyadvance.org/site_images/content/FLAP_state.pdf</w:t>
        </w:r>
      </w:hyperlink>
    </w:p>
    <w:p w14:paraId="07BAB421" w14:textId="77777777" w:rsidR="00AF49F5" w:rsidRDefault="00B0541A" w:rsidP="00AF49F5">
      <w:pPr>
        <w:spacing w:after="280"/>
        <w:contextualSpacing/>
        <w:rPr>
          <w:rFonts w:ascii="Calibri" w:hAnsi="Calibri"/>
          <w:sz w:val="22"/>
          <w:szCs w:val="22"/>
        </w:rPr>
      </w:pPr>
      <w:r w:rsidRPr="00B0541A">
        <w:rPr>
          <w:rFonts w:ascii="Calibri" w:hAnsi="Calibri"/>
          <w:b/>
          <w:sz w:val="22"/>
          <w:szCs w:val="22"/>
        </w:rPr>
        <w:t>Federal Lands Headquarters (Washington, DC)</w:t>
      </w:r>
    </w:p>
    <w:p w14:paraId="1EC238D5" w14:textId="209D0186" w:rsidR="00B0541A" w:rsidRPr="00AF49F5" w:rsidRDefault="00B0541A" w:rsidP="00AF49F5">
      <w:pPr>
        <w:spacing w:after="280"/>
        <w:contextualSpacing/>
        <w:rPr>
          <w:rFonts w:ascii="Calibri" w:hAnsi="Calibri"/>
          <w:sz w:val="22"/>
          <w:szCs w:val="22"/>
        </w:rPr>
      </w:pPr>
      <w:r w:rsidRPr="00B0541A">
        <w:rPr>
          <w:rFonts w:ascii="Calibri" w:eastAsia="Times New Roman" w:hAnsi="Calibri" w:cs="Times New Roman"/>
          <w:bCs/>
          <w:color w:val="000000"/>
          <w:sz w:val="22"/>
          <w:szCs w:val="22"/>
        </w:rPr>
        <w:t>Frances Ramirez, 202-493-0271 Frances.Ramirez@dot.gov</w:t>
      </w:r>
    </w:p>
    <w:p w14:paraId="3A06F95F" w14:textId="77777777" w:rsidR="00B0541A" w:rsidRPr="00B0541A" w:rsidRDefault="00B0541A" w:rsidP="00B0541A">
      <w:pPr>
        <w:rPr>
          <w:rFonts w:ascii="Calibri" w:eastAsia="Times New Roman" w:hAnsi="Calibri" w:cs="Times New Roman"/>
          <w:i/>
          <w:color w:val="000000"/>
          <w:sz w:val="22"/>
          <w:szCs w:val="22"/>
        </w:rPr>
      </w:pPr>
    </w:p>
    <w:p w14:paraId="2D828D8D" w14:textId="50848AFF" w:rsidR="00B0541A" w:rsidRPr="00B0541A" w:rsidRDefault="00B0541A" w:rsidP="00B0541A">
      <w:pPr>
        <w:rPr>
          <w:rFonts w:ascii="Calibri" w:hAnsi="Calibri"/>
          <w:b/>
          <w:sz w:val="22"/>
          <w:szCs w:val="22"/>
        </w:rPr>
      </w:pPr>
      <w:r w:rsidRPr="00B0541A">
        <w:rPr>
          <w:rFonts w:ascii="Calibri" w:hAnsi="Calibri"/>
          <w:b/>
          <w:sz w:val="22"/>
          <w:szCs w:val="22"/>
        </w:rPr>
        <w:t>Western Federal Lands Office (</w:t>
      </w:r>
      <w:proofErr w:type="spellStart"/>
      <w:r w:rsidRPr="00B0541A">
        <w:rPr>
          <w:rFonts w:ascii="Calibri" w:hAnsi="Calibri"/>
          <w:b/>
          <w:sz w:val="22"/>
          <w:szCs w:val="22"/>
        </w:rPr>
        <w:t>Vanouver</w:t>
      </w:r>
      <w:proofErr w:type="spellEnd"/>
      <w:r w:rsidRPr="00B0541A">
        <w:rPr>
          <w:rFonts w:ascii="Calibri" w:hAnsi="Calibri"/>
          <w:b/>
          <w:sz w:val="22"/>
          <w:szCs w:val="22"/>
        </w:rPr>
        <w:t>, WA)</w:t>
      </w:r>
    </w:p>
    <w:p w14:paraId="2B06589F" w14:textId="4BBF0DBD" w:rsidR="00B0541A" w:rsidRPr="00B0541A" w:rsidRDefault="00B0541A" w:rsidP="00B0541A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41A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FHWA WFL FLAP Coordinator: </w:t>
      </w:r>
      <w:r w:rsidRPr="00B0541A">
        <w:rPr>
          <w:rFonts w:ascii="Calibri" w:hAnsi="Calibri" w:cs="Times"/>
          <w:sz w:val="22"/>
          <w:szCs w:val="22"/>
        </w:rPr>
        <w:t xml:space="preserve">Tom </w:t>
      </w:r>
      <w:proofErr w:type="spellStart"/>
      <w:r w:rsidRPr="00B0541A">
        <w:rPr>
          <w:rFonts w:ascii="Calibri" w:hAnsi="Calibri" w:cs="Times"/>
          <w:sz w:val="22"/>
          <w:szCs w:val="22"/>
        </w:rPr>
        <w:t>Erkert</w:t>
      </w:r>
      <w:proofErr w:type="spellEnd"/>
      <w:r w:rsidRPr="00B0541A">
        <w:rPr>
          <w:rFonts w:ascii="Calibri" w:hAnsi="Calibri" w:cs="Times"/>
          <w:sz w:val="22"/>
          <w:szCs w:val="22"/>
        </w:rPr>
        <w:t>, 360-619-7791 Tom.Erkert@dot.gov</w:t>
      </w:r>
    </w:p>
    <w:p w14:paraId="7B7ED7DC" w14:textId="77777777" w:rsidR="00B0541A" w:rsidRPr="00B0541A" w:rsidRDefault="00B0541A" w:rsidP="00B0541A">
      <w:pPr>
        <w:rPr>
          <w:rFonts w:ascii="Calibri" w:eastAsia="Times New Roman" w:hAnsi="Calibri" w:cs="Times New Roman"/>
          <w:i/>
          <w:color w:val="000000"/>
          <w:sz w:val="22"/>
          <w:szCs w:val="22"/>
        </w:rPr>
      </w:pPr>
    </w:p>
    <w:p w14:paraId="301F62C8" w14:textId="07D54A75" w:rsidR="00B0541A" w:rsidRPr="00B0541A" w:rsidRDefault="00B0541A" w:rsidP="00B0541A">
      <w:pPr>
        <w:rPr>
          <w:rFonts w:ascii="Calibri" w:hAnsi="Calibri"/>
          <w:b/>
          <w:sz w:val="22"/>
          <w:szCs w:val="22"/>
        </w:rPr>
      </w:pPr>
      <w:r w:rsidRPr="00B0541A">
        <w:rPr>
          <w:rFonts w:ascii="Calibri" w:hAnsi="Calibri"/>
          <w:b/>
          <w:sz w:val="22"/>
          <w:szCs w:val="22"/>
        </w:rPr>
        <w:t>Central Federal Lands Office (Lakewood, CO)</w:t>
      </w:r>
    </w:p>
    <w:p w14:paraId="515E779B" w14:textId="4DFD749B" w:rsidR="00B0541A" w:rsidRPr="00B0541A" w:rsidRDefault="00B0541A" w:rsidP="00B0541A">
      <w:pPr>
        <w:rPr>
          <w:rFonts w:ascii="Calibri" w:hAnsi="Calibri"/>
          <w:sz w:val="22"/>
          <w:szCs w:val="22"/>
        </w:rPr>
      </w:pPr>
      <w:r w:rsidRPr="00B0541A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FHWA CFL FLAP Coordinator: </w:t>
      </w:r>
      <w:r w:rsidRPr="00B0541A">
        <w:rPr>
          <w:rFonts w:ascii="Calibri" w:eastAsia="Times New Roman" w:hAnsi="Calibri" w:cs="Times New Roman"/>
          <w:color w:val="000000"/>
          <w:sz w:val="22"/>
          <w:szCs w:val="22"/>
        </w:rPr>
        <w:t xml:space="preserve">Allen </w:t>
      </w:r>
      <w:proofErr w:type="spellStart"/>
      <w:r w:rsidRPr="00B0541A">
        <w:rPr>
          <w:rFonts w:ascii="Calibri" w:eastAsia="Times New Roman" w:hAnsi="Calibri" w:cs="Times New Roman"/>
          <w:color w:val="000000"/>
          <w:sz w:val="22"/>
          <w:szCs w:val="22"/>
        </w:rPr>
        <w:t>Grasmick</w:t>
      </w:r>
      <w:proofErr w:type="spellEnd"/>
      <w:r w:rsidRPr="00B0541A">
        <w:rPr>
          <w:rFonts w:ascii="Calibri" w:eastAsia="Times New Roman" w:hAnsi="Calibri" w:cs="Times New Roman"/>
          <w:color w:val="000000"/>
          <w:sz w:val="22"/>
          <w:szCs w:val="22"/>
        </w:rPr>
        <w:t>, Allen.Grasmick@dot.gov, (720) 963-3664</w:t>
      </w:r>
    </w:p>
    <w:p w14:paraId="0F6F4E1B" w14:textId="77777777" w:rsidR="00B0541A" w:rsidRPr="00B0541A" w:rsidRDefault="00B0541A" w:rsidP="00B0541A">
      <w:pPr>
        <w:rPr>
          <w:rFonts w:ascii="Calibri" w:hAnsi="Calibri"/>
          <w:sz w:val="22"/>
          <w:szCs w:val="22"/>
        </w:rPr>
      </w:pPr>
    </w:p>
    <w:p w14:paraId="72F49CAB" w14:textId="73FD2774" w:rsidR="00B0541A" w:rsidRPr="00B0541A" w:rsidRDefault="00B0541A" w:rsidP="00B0541A">
      <w:pPr>
        <w:rPr>
          <w:rFonts w:ascii="Calibri" w:hAnsi="Calibri"/>
          <w:b/>
          <w:sz w:val="22"/>
          <w:szCs w:val="22"/>
        </w:rPr>
      </w:pPr>
      <w:r w:rsidRPr="00B0541A">
        <w:rPr>
          <w:rFonts w:ascii="Calibri" w:hAnsi="Calibri"/>
          <w:b/>
          <w:sz w:val="22"/>
          <w:szCs w:val="22"/>
        </w:rPr>
        <w:t>Eastern Federal Lands Office (Sterling, VA)</w:t>
      </w:r>
    </w:p>
    <w:p w14:paraId="4F467DE2" w14:textId="43C24B1F" w:rsidR="00B0541A" w:rsidRDefault="00B0541A" w:rsidP="00B0541A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41A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FHWA EFL FLAP Coordinator: </w:t>
      </w:r>
      <w:r w:rsidRPr="00B0541A">
        <w:rPr>
          <w:rFonts w:ascii="Calibri" w:eastAsia="Times New Roman" w:hAnsi="Calibri" w:cs="Times New Roman"/>
          <w:color w:val="000000"/>
          <w:sz w:val="22"/>
          <w:szCs w:val="22"/>
        </w:rPr>
        <w:t xml:space="preserve">David Payne, David.Payne@dot.gov (571) 434-1543 </w:t>
      </w:r>
    </w:p>
    <w:p w14:paraId="0FC8CA9E" w14:textId="77777777" w:rsidR="00B0541A" w:rsidRPr="00B0541A" w:rsidRDefault="00B0541A" w:rsidP="00B0541A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C69B4EA" w14:textId="77777777" w:rsidR="00B0541A" w:rsidRDefault="00B0541A" w:rsidP="00B0541A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E81D4F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7E4E791A" wp14:editId="07D393F9">
            <wp:extent cx="2974063" cy="18767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30" cy="18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D4F">
        <w:rPr>
          <w:rFonts w:ascii="Calibri" w:hAnsi="Calibri" w:cs="Times"/>
          <w:sz w:val="22"/>
          <w:szCs w:val="22"/>
        </w:rPr>
        <w:t xml:space="preserve"> </w:t>
      </w:r>
      <w:r w:rsidRPr="00E81D4F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5591D488" wp14:editId="16EE1295">
            <wp:extent cx="1064686" cy="6654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57" cy="6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D4F">
        <w:rPr>
          <w:rFonts w:ascii="Calibri" w:hAnsi="Calibri" w:cs="Times"/>
          <w:sz w:val="22"/>
          <w:szCs w:val="22"/>
        </w:rPr>
        <w:t xml:space="preserve"> </w:t>
      </w:r>
      <w:r w:rsidRPr="00E81D4F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6B893310" wp14:editId="0978DEB5">
            <wp:extent cx="266700" cy="165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D4F">
        <w:rPr>
          <w:rFonts w:ascii="Calibri" w:hAnsi="Calibri" w:cs="Times"/>
          <w:sz w:val="22"/>
          <w:szCs w:val="22"/>
        </w:rPr>
        <w:t xml:space="preserve"> </w:t>
      </w:r>
    </w:p>
    <w:p w14:paraId="6A5B0186" w14:textId="77777777" w:rsidR="00B0541A" w:rsidRPr="00E81D4F" w:rsidRDefault="00B0541A" w:rsidP="00B0541A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</w:p>
    <w:p w14:paraId="76601E6A" w14:textId="40566718" w:rsidR="000837B6" w:rsidRPr="00B0541A" w:rsidRDefault="00B0541A" w:rsidP="00B0541A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>
        <w:rPr>
          <w:noProof/>
        </w:rPr>
        <w:drawing>
          <wp:inline distT="0" distB="0" distL="0" distR="0" wp14:anchorId="0E8F727D" wp14:editId="0102FAC5">
            <wp:extent cx="3042341" cy="2034766"/>
            <wp:effectExtent l="0" t="0" r="57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03" cy="203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7B6">
        <w:br w:type="page"/>
      </w:r>
      <w:r w:rsidRPr="00E81D4F">
        <w:rPr>
          <w:rFonts w:ascii="Calibri" w:hAnsi="Calibri" w:cs="Times"/>
          <w:sz w:val="22"/>
          <w:szCs w:val="22"/>
        </w:rPr>
        <w:lastRenderedPageBreak/>
        <w:t xml:space="preserve"> </w:t>
      </w:r>
      <w:r w:rsidR="000837B6">
        <w:rPr>
          <w:rFonts w:ascii="Calibri" w:hAnsi="Calibri" w:cs="Times"/>
          <w:b/>
          <w:bCs/>
          <w:sz w:val="50"/>
          <w:szCs w:val="50"/>
        </w:rPr>
        <w:t>Appendix II</w:t>
      </w:r>
    </w:p>
    <w:p w14:paraId="607BB839" w14:textId="7C1CA2F1" w:rsidR="000837B6" w:rsidRDefault="000837B6" w:rsidP="000837B6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Cs/>
          <w:sz w:val="28"/>
          <w:szCs w:val="28"/>
        </w:rPr>
      </w:pPr>
      <w:r>
        <w:rPr>
          <w:rFonts w:ascii="Calibri" w:hAnsi="Calibri" w:cs="Times"/>
          <w:b/>
          <w:bCs/>
          <w:sz w:val="28"/>
          <w:szCs w:val="28"/>
        </w:rPr>
        <w:t>Sample Letter of Support</w:t>
      </w:r>
      <w:r>
        <w:rPr>
          <w:rFonts w:ascii="Calibri" w:hAnsi="Calibri" w:cs="Times"/>
          <w:bCs/>
          <w:sz w:val="28"/>
          <w:szCs w:val="28"/>
        </w:rPr>
        <w:t xml:space="preserve"> (Adventure Cycling)</w:t>
      </w:r>
    </w:p>
    <w:p w14:paraId="4BC8EE05" w14:textId="57771E9F" w:rsidR="00F17282" w:rsidRPr="00F8351E" w:rsidRDefault="000837B6" w:rsidP="00F8351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165C99C" wp14:editId="4EA68FA1">
            <wp:extent cx="5039023" cy="653454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73" cy="65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282" w:rsidRPr="00F8351E" w:rsidSect="00E13BBD">
      <w:head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89A0" w14:textId="77777777" w:rsidR="00C82F8C" w:rsidRDefault="00C82F8C" w:rsidP="0044320E">
      <w:r>
        <w:separator/>
      </w:r>
    </w:p>
  </w:endnote>
  <w:endnote w:type="continuationSeparator" w:id="0">
    <w:p w14:paraId="1CC42DAA" w14:textId="77777777" w:rsidR="00C82F8C" w:rsidRDefault="00C82F8C" w:rsidP="0044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7449" w14:textId="77777777" w:rsidR="00C82F8C" w:rsidRDefault="00C82F8C" w:rsidP="0044320E">
      <w:r>
        <w:separator/>
      </w:r>
    </w:p>
  </w:footnote>
  <w:footnote w:type="continuationSeparator" w:id="0">
    <w:p w14:paraId="30080CF5" w14:textId="77777777" w:rsidR="00C82F8C" w:rsidRDefault="00C82F8C" w:rsidP="0044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15FD" w14:textId="77777777" w:rsidR="00B347FE" w:rsidRDefault="00B347FE">
    <w:pPr>
      <w:pStyle w:val="Header"/>
    </w:pPr>
    <w:r>
      <w:rPr>
        <w:noProof/>
      </w:rPr>
      <w:drawing>
        <wp:inline distT="0" distB="0" distL="0" distR="0" wp14:anchorId="3AEB0BAD" wp14:editId="662BB5CD">
          <wp:extent cx="5486400" cy="12207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0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66143"/>
    <w:multiLevelType w:val="hybridMultilevel"/>
    <w:tmpl w:val="08F4D9B2"/>
    <w:lvl w:ilvl="0" w:tplc="03B81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1966"/>
    <w:multiLevelType w:val="hybridMultilevel"/>
    <w:tmpl w:val="31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F6F89"/>
    <w:multiLevelType w:val="hybridMultilevel"/>
    <w:tmpl w:val="73C6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2FE2"/>
    <w:multiLevelType w:val="hybridMultilevel"/>
    <w:tmpl w:val="435A290C"/>
    <w:lvl w:ilvl="0" w:tplc="11B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8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7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61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5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6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E7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6F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83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6E8E"/>
    <w:multiLevelType w:val="hybridMultilevel"/>
    <w:tmpl w:val="F796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1E05"/>
    <w:multiLevelType w:val="hybridMultilevel"/>
    <w:tmpl w:val="D1449D6A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71BE"/>
    <w:multiLevelType w:val="hybridMultilevel"/>
    <w:tmpl w:val="C3BED592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BD2"/>
    <w:multiLevelType w:val="hybridMultilevel"/>
    <w:tmpl w:val="F0DEFE08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sz w:val="16"/>
      </w:r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228E0"/>
    <w:multiLevelType w:val="hybridMultilevel"/>
    <w:tmpl w:val="94A2A86E"/>
    <w:lvl w:ilvl="0" w:tplc="3188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51F5C"/>
    <w:multiLevelType w:val="hybridMultilevel"/>
    <w:tmpl w:val="85C44710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sz w:val="16"/>
      </w:r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6F12"/>
    <w:multiLevelType w:val="hybridMultilevel"/>
    <w:tmpl w:val="B0FEB6B8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AB7"/>
    <w:multiLevelType w:val="hybridMultilevel"/>
    <w:tmpl w:val="3A16BA5E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B1EE7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C4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E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4F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E5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6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04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E9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61CF0"/>
    <w:multiLevelType w:val="hybridMultilevel"/>
    <w:tmpl w:val="96108CB2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sz w:val="16"/>
      </w:r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E7FD4"/>
    <w:multiLevelType w:val="hybridMultilevel"/>
    <w:tmpl w:val="689817A8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557A"/>
    <w:multiLevelType w:val="hybridMultilevel"/>
    <w:tmpl w:val="063EEEE0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430D6"/>
    <w:multiLevelType w:val="hybridMultilevel"/>
    <w:tmpl w:val="67C8EA46"/>
    <w:lvl w:ilvl="0" w:tplc="1E58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E7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C4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E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4F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E5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6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04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E9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F2967"/>
    <w:multiLevelType w:val="hybridMultilevel"/>
    <w:tmpl w:val="2DB87BD4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C3EF8"/>
    <w:multiLevelType w:val="hybridMultilevel"/>
    <w:tmpl w:val="C55606B6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E85"/>
    <w:multiLevelType w:val="hybridMultilevel"/>
    <w:tmpl w:val="551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27A0E"/>
    <w:multiLevelType w:val="hybridMultilevel"/>
    <w:tmpl w:val="9824242C"/>
    <w:lvl w:ilvl="0" w:tplc="8710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77811"/>
    <w:multiLevelType w:val="multilevel"/>
    <w:tmpl w:val="6E02A6A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Calibri" w:eastAsia="Times New Roman" w:hAnsi="Calibri" w:cs="Arial"/>
      </w:rPr>
    </w:lvl>
    <w:lvl w:ilvl="1">
      <w:start w:val="1"/>
      <w:numFmt w:val="lowerRoman"/>
      <w:lvlText w:val="%2."/>
      <w:lvlJc w:val="right"/>
      <w:pPr>
        <w:tabs>
          <w:tab w:val="num" w:pos="1300"/>
        </w:tabs>
        <w:ind w:left="13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20"/>
        </w:tabs>
        <w:ind w:left="20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40"/>
        </w:tabs>
        <w:ind w:left="27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60"/>
        </w:tabs>
        <w:ind w:left="34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80"/>
        </w:tabs>
        <w:ind w:left="41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00"/>
        </w:tabs>
        <w:ind w:left="49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20"/>
        </w:tabs>
        <w:ind w:left="56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2">
    <w:nsid w:val="62C276FF"/>
    <w:multiLevelType w:val="hybridMultilevel"/>
    <w:tmpl w:val="C780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B30B0"/>
    <w:multiLevelType w:val="hybridMultilevel"/>
    <w:tmpl w:val="1E644B78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7068D"/>
    <w:multiLevelType w:val="hybridMultilevel"/>
    <w:tmpl w:val="E78A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7F06"/>
    <w:multiLevelType w:val="hybridMultilevel"/>
    <w:tmpl w:val="97483F5C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11A6"/>
    <w:multiLevelType w:val="hybridMultilevel"/>
    <w:tmpl w:val="6E22A4C8"/>
    <w:lvl w:ilvl="0" w:tplc="8710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C8C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4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06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73C10"/>
    <w:multiLevelType w:val="hybridMultilevel"/>
    <w:tmpl w:val="C1488302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D6A4D"/>
    <w:multiLevelType w:val="hybridMultilevel"/>
    <w:tmpl w:val="C3A29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0E02FF"/>
    <w:multiLevelType w:val="hybridMultilevel"/>
    <w:tmpl w:val="3D44BDAC"/>
    <w:lvl w:ilvl="0" w:tplc="D29C399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24"/>
  </w:num>
  <w:num w:numId="9">
    <w:abstractNumId w:val="20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27"/>
  </w:num>
  <w:num w:numId="15">
    <w:abstractNumId w:val="18"/>
  </w:num>
  <w:num w:numId="16">
    <w:abstractNumId w:val="14"/>
  </w:num>
  <w:num w:numId="17">
    <w:abstractNumId w:val="29"/>
  </w:num>
  <w:num w:numId="18">
    <w:abstractNumId w:val="25"/>
  </w:num>
  <w:num w:numId="19">
    <w:abstractNumId w:val="0"/>
  </w:num>
  <w:num w:numId="20">
    <w:abstractNumId w:val="4"/>
  </w:num>
  <w:num w:numId="21">
    <w:abstractNumId w:val="28"/>
  </w:num>
  <w:num w:numId="22">
    <w:abstractNumId w:val="9"/>
  </w:num>
  <w:num w:numId="23">
    <w:abstractNumId w:val="16"/>
  </w:num>
  <w:num w:numId="24">
    <w:abstractNumId w:val="26"/>
  </w:num>
  <w:num w:numId="25">
    <w:abstractNumId w:val="2"/>
  </w:num>
  <w:num w:numId="26">
    <w:abstractNumId w:val="13"/>
  </w:num>
  <w:num w:numId="27">
    <w:abstractNumId w:val="8"/>
  </w:num>
  <w:num w:numId="28">
    <w:abstractNumId w:val="12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E"/>
    <w:rsid w:val="000837B6"/>
    <w:rsid w:val="00163CBF"/>
    <w:rsid w:val="002D5CDC"/>
    <w:rsid w:val="0044320E"/>
    <w:rsid w:val="0047506A"/>
    <w:rsid w:val="00586954"/>
    <w:rsid w:val="0059519C"/>
    <w:rsid w:val="00637889"/>
    <w:rsid w:val="007A4E7C"/>
    <w:rsid w:val="00801B41"/>
    <w:rsid w:val="00843B0C"/>
    <w:rsid w:val="00903DFD"/>
    <w:rsid w:val="00935E6A"/>
    <w:rsid w:val="0095423A"/>
    <w:rsid w:val="009A26F4"/>
    <w:rsid w:val="00AF49F5"/>
    <w:rsid w:val="00B0541A"/>
    <w:rsid w:val="00B23E89"/>
    <w:rsid w:val="00B347FE"/>
    <w:rsid w:val="00BA2B09"/>
    <w:rsid w:val="00C82F8C"/>
    <w:rsid w:val="00D17E37"/>
    <w:rsid w:val="00D223CF"/>
    <w:rsid w:val="00DD1B4C"/>
    <w:rsid w:val="00E13BBD"/>
    <w:rsid w:val="00E82297"/>
    <w:rsid w:val="00F17282"/>
    <w:rsid w:val="00F8351E"/>
    <w:rsid w:val="00F91091"/>
    <w:rsid w:val="00FB0AD3"/>
    <w:rsid w:val="00FD30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7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0E"/>
  </w:style>
  <w:style w:type="character" w:styleId="Hyperlink">
    <w:name w:val="Hyperlink"/>
    <w:basedOn w:val="DefaultParagraphFont"/>
    <w:uiPriority w:val="99"/>
    <w:unhideWhenUsed/>
    <w:rsid w:val="00443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2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320E"/>
  </w:style>
  <w:style w:type="character" w:customStyle="1" w:styleId="FootnoteTextChar">
    <w:name w:val="Footnote Text Char"/>
    <w:basedOn w:val="DefaultParagraphFont"/>
    <w:link w:val="FootnoteText"/>
    <w:uiPriority w:val="99"/>
    <w:rsid w:val="0044320E"/>
  </w:style>
  <w:style w:type="character" w:styleId="FootnoteReference">
    <w:name w:val="footnote reference"/>
    <w:basedOn w:val="DefaultParagraphFont"/>
    <w:uiPriority w:val="99"/>
    <w:unhideWhenUsed/>
    <w:rsid w:val="004432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320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4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0E"/>
  </w:style>
  <w:style w:type="character" w:styleId="Hyperlink">
    <w:name w:val="Hyperlink"/>
    <w:basedOn w:val="DefaultParagraphFont"/>
    <w:uiPriority w:val="99"/>
    <w:unhideWhenUsed/>
    <w:rsid w:val="00443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2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320E"/>
  </w:style>
  <w:style w:type="character" w:customStyle="1" w:styleId="FootnoteTextChar">
    <w:name w:val="Footnote Text Char"/>
    <w:basedOn w:val="DefaultParagraphFont"/>
    <w:link w:val="FootnoteText"/>
    <w:uiPriority w:val="99"/>
    <w:rsid w:val="0044320E"/>
  </w:style>
  <w:style w:type="character" w:styleId="FootnoteReference">
    <w:name w:val="footnote reference"/>
    <w:basedOn w:val="DefaultParagraphFont"/>
    <w:uiPriority w:val="99"/>
    <w:unhideWhenUsed/>
    <w:rsid w:val="004432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320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4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vocacyadvance.org/site_images/content/FLAP_state.pd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ocacyadvance.org/site_images/content/FLAP_state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advocacyadvance.org/site_images/content/FLAP_state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vocacyadvance.org/site_images/content/FLAP_combined(1).pdf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9FBF8-4FAC-43FC-967E-438AEAD9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For Biking and Walking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Brighid O'Keane</dc:creator>
  <cp:lastModifiedBy>Ken McLeod</cp:lastModifiedBy>
  <cp:revision>2</cp:revision>
  <cp:lastPrinted>2013-06-13T12:31:00Z</cp:lastPrinted>
  <dcterms:created xsi:type="dcterms:W3CDTF">2016-03-29T14:49:00Z</dcterms:created>
  <dcterms:modified xsi:type="dcterms:W3CDTF">2016-03-29T14:49:00Z</dcterms:modified>
</cp:coreProperties>
</file>